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4BCF" w:rsidRPr="003A4BCF" w:rsidRDefault="003A4BCF" w:rsidP="003A4BCF">
      <w:pPr>
        <w:spacing w:after="200"/>
        <w:rPr>
          <w:b/>
          <w:sz w:val="28"/>
          <w:szCs w:val="28"/>
        </w:rPr>
      </w:pPr>
      <w:r w:rsidRPr="003A4BCF">
        <w:rPr>
          <w:b/>
          <w:sz w:val="28"/>
          <w:szCs w:val="28"/>
          <w:u w:val="single"/>
        </w:rPr>
        <w:t xml:space="preserve">Le modèle du CECRL - </w:t>
      </w:r>
      <w:r w:rsidRPr="003A4BCF">
        <w:rPr>
          <w:b/>
          <w:sz w:val="28"/>
          <w:szCs w:val="28"/>
        </w:rPr>
        <w:t>(Conseil de l’Europe, 2001, pp. 17</w:t>
      </w:r>
      <w:r w:rsidRPr="003A4BCF">
        <w:rPr>
          <w:rFonts w:ascii="Palatino" w:eastAsia="Palatino" w:hAnsi="Palatino" w:cs="Palatino"/>
          <w:b/>
          <w:sz w:val="28"/>
          <w:szCs w:val="28"/>
        </w:rPr>
        <w:t>‑</w:t>
      </w:r>
      <w:r w:rsidRPr="003A4BCF">
        <w:rPr>
          <w:b/>
          <w:sz w:val="28"/>
          <w:szCs w:val="28"/>
        </w:rPr>
        <w:t>18)</w:t>
      </w:r>
    </w:p>
    <w:p w:rsidR="003A4BCF" w:rsidRPr="003A4BCF" w:rsidRDefault="003A4BCF" w:rsidP="003A4BCF">
      <w:pPr>
        <w:widowControl w:val="0"/>
        <w:spacing w:after="120" w:line="276" w:lineRule="auto"/>
        <w:rPr>
          <w:b/>
          <w:bCs/>
        </w:rPr>
      </w:pPr>
      <w:r w:rsidRPr="003A4BCF">
        <w:rPr>
          <w:b/>
          <w:bCs/>
        </w:rPr>
        <w:t>2.1.2 Compétence à communiquer langagièrement</w:t>
      </w:r>
    </w:p>
    <w:p w:rsidR="003A4BCF" w:rsidRDefault="003A4BCF" w:rsidP="003A4BCF">
      <w:pPr>
        <w:widowControl w:val="0"/>
        <w:spacing w:after="120" w:line="276" w:lineRule="auto"/>
        <w:jc w:val="both"/>
        <w:rPr>
          <w:sz w:val="22"/>
          <w:szCs w:val="22"/>
        </w:rPr>
      </w:pPr>
      <w:r>
        <w:rPr>
          <w:sz w:val="22"/>
          <w:szCs w:val="22"/>
        </w:rPr>
        <w:t>La compétence à communiquer langagièrement peut être considérée comme présentant plusieurs composantes : une composante linguistique, une composante sociolinguistique, une composante pragmatique. Chacune de ces composantes est posée comme constituée notamment de savoirs, d’habiletés et de savoir-faire.</w:t>
      </w:r>
    </w:p>
    <w:p w:rsidR="003A4BCF" w:rsidRDefault="003A4BCF" w:rsidP="003A4BCF">
      <w:pPr>
        <w:widowControl w:val="0"/>
        <w:numPr>
          <w:ilvl w:val="0"/>
          <w:numId w:val="2"/>
        </w:numPr>
        <w:jc w:val="both"/>
      </w:pPr>
      <w:r>
        <w:rPr>
          <w:rFonts w:ascii="Cambria" w:eastAsia="Cambria" w:hAnsi="Cambria" w:cs="Cambria"/>
          <w:b/>
        </w:rPr>
        <w:t>La compétence linguistique</w:t>
      </w:r>
      <w:r>
        <w:rPr>
          <w:rFonts w:ascii="Cambria" w:eastAsia="Cambria" w:hAnsi="Cambria" w:cs="Cambria"/>
        </w:rPr>
        <w:t xml:space="preserve"> est celle qui a trait aux savoirs et savoir-faire relatifs au lexique, à la phonétique, à la syntaxe et aux autres dimensions du système d’une langue, pris en tant que tel, indépendamment de la valeur sociolinguistique de ses variations et des fonctions pragmatiques de ses réalisations. Cette composante, considérée sous l’angle ici retenu de la compétence à communiquer langagièrement d’un acteur donné, a à voir non seulement avec l’étendue et la qualité des connaissances (par exemple en termes de distinctions phonétiques établies ou d’étendue et de précision du lexique), mais aussi avec l’organisation cognitive et le mode de stockage mémoriel de ces connaissances (par exemple les réseaux associatifs de divers ordres dans lesquels un élément lexical peut se trouver inclus pour ce locuteur) et avec leur accessibilité (activation, rappel et disponibilité). Les connaissances peuvent être conscientes et explicitables ou non (par exemple, là encore, quant à la maîtrise d’un système phonétique). Leur organisation et leur accessibilité varient d’un individu à l’autre et, pour un même individu, connaissent aussi des variations internes (par exemple, pour un individu plurilingue, selon les variétés entrant dans sa compétence plurilingue). On considérera aussi que l’organisation cognitive du lexique, le stockage de locutions, etc. dépendent, entre autres facteurs, des caractéristiques culturelles de la (ou des) communauté(s) où se sont opérés la socialisation de l’acteur et ses divers apprentissages.</w:t>
      </w:r>
    </w:p>
    <w:p w:rsidR="003A4BCF" w:rsidRDefault="003A4BCF" w:rsidP="003A4BCF">
      <w:pPr>
        <w:widowControl w:val="0"/>
        <w:numPr>
          <w:ilvl w:val="0"/>
          <w:numId w:val="2"/>
        </w:numPr>
        <w:jc w:val="both"/>
      </w:pPr>
      <w:r>
        <w:rPr>
          <w:rFonts w:ascii="Cambria" w:eastAsia="Cambria" w:hAnsi="Cambria" w:cs="Cambria"/>
          <w:b/>
        </w:rPr>
        <w:t>La compétence sociolinguistique</w:t>
      </w:r>
      <w:r>
        <w:rPr>
          <w:rFonts w:ascii="Cambria" w:eastAsia="Cambria" w:hAnsi="Cambria" w:cs="Cambria"/>
        </w:rPr>
        <w:t xml:space="preserve"> renvoie aux paramètres socioculturels de l’utilisation de la langue. Sensible aux normes sociales (règles d’adresse et de politesse, régulation des rapports entre générations, sexes, statuts, groupes sociaux, codification par le langage de nombre de rituels fondamentaux dans le fonctionnement d’une communauté), la composante sociolinguistique affecte fortement toute communication langagière entre représentants de cultures différentes, même si c’est souvent à l’insu des participants eux-mêmes.</w:t>
      </w:r>
    </w:p>
    <w:p w:rsidR="003A4BCF" w:rsidRPr="00A1711D" w:rsidRDefault="003A4BCF" w:rsidP="003A4BCF">
      <w:pPr>
        <w:widowControl w:val="0"/>
        <w:numPr>
          <w:ilvl w:val="0"/>
          <w:numId w:val="2"/>
        </w:numPr>
        <w:jc w:val="both"/>
      </w:pPr>
      <w:r>
        <w:rPr>
          <w:rFonts w:ascii="Cambria" w:eastAsia="Cambria" w:hAnsi="Cambria" w:cs="Cambria"/>
          <w:b/>
        </w:rPr>
        <w:t>La compétence pragmatique</w:t>
      </w:r>
      <w:r>
        <w:rPr>
          <w:rFonts w:ascii="Cambria" w:eastAsia="Cambria" w:hAnsi="Cambria" w:cs="Cambria"/>
        </w:rPr>
        <w:t xml:space="preserve"> recouvre l’utilisation fonctionnelle des ressources de la langue (réalisation de fonctions langagières, d’actes de parole) en s’appuyant sur des scénarios ou des scripts d’échanges interactionnels. Elle renvoie également à la maîtrise du discours, à sa cohésion et à sa cohérence, au repérage des types et genres textuels, des effets d’ironie, de parodie. Plus encore pour cette composante que pour la composante linguistique, il n’est guère besoin d’insister sur les incidences fortes des interactions et des environnements culturels dans lesquels s’inscrit la construction de telles capacités.</w:t>
      </w:r>
    </w:p>
    <w:p w:rsidR="00A1711D" w:rsidRDefault="00A1711D" w:rsidP="00A1711D">
      <w:pPr>
        <w:widowControl w:val="0"/>
        <w:ind w:left="360"/>
        <w:jc w:val="both"/>
      </w:pPr>
    </w:p>
    <w:p w:rsidR="003A4BCF" w:rsidRDefault="003A4BCF" w:rsidP="003A4BCF">
      <w:pPr>
        <w:widowControl w:val="0"/>
        <w:spacing w:after="120" w:line="276" w:lineRule="auto"/>
        <w:jc w:val="both"/>
        <w:rPr>
          <w:b/>
          <w:sz w:val="22"/>
          <w:szCs w:val="22"/>
        </w:rPr>
      </w:pPr>
      <w:r>
        <w:rPr>
          <w:b/>
          <w:sz w:val="22"/>
          <w:szCs w:val="22"/>
        </w:rPr>
        <w:t xml:space="preserve">Référence : </w:t>
      </w:r>
    </w:p>
    <w:p w:rsidR="003A4BCF" w:rsidRDefault="003A4BCF" w:rsidP="00A1711D">
      <w:pPr>
        <w:widowControl w:val="0"/>
        <w:spacing w:after="120" w:line="276" w:lineRule="auto"/>
        <w:jc w:val="both"/>
        <w:rPr>
          <w:sz w:val="22"/>
          <w:szCs w:val="22"/>
        </w:rPr>
      </w:pPr>
      <w:r>
        <w:rPr>
          <w:sz w:val="22"/>
          <w:szCs w:val="22"/>
        </w:rPr>
        <w:t xml:space="preserve">Conseil de l’Europe. (2001). </w:t>
      </w:r>
      <w:r>
        <w:rPr>
          <w:i/>
          <w:sz w:val="22"/>
          <w:szCs w:val="22"/>
        </w:rPr>
        <w:t>Un Cadre européen commun de référence pour les langues : apprendre, enseigner, évaluer</w:t>
      </w:r>
      <w:r>
        <w:rPr>
          <w:sz w:val="22"/>
          <w:szCs w:val="22"/>
        </w:rPr>
        <w:t>. Paris ; Strasbourg : Didier ; Conseil de l’Europe.</w:t>
      </w:r>
    </w:p>
    <w:p w:rsidR="003A4BCF" w:rsidRPr="003A4BCF" w:rsidRDefault="003A4BCF" w:rsidP="003A4BCF">
      <w:pPr>
        <w:spacing w:after="120" w:line="276" w:lineRule="auto"/>
        <w:rPr>
          <w:b/>
          <w:sz w:val="28"/>
          <w:szCs w:val="28"/>
          <w:u w:val="single"/>
        </w:rPr>
      </w:pPr>
      <w:r w:rsidRPr="003A4BCF">
        <w:rPr>
          <w:b/>
          <w:sz w:val="28"/>
          <w:szCs w:val="28"/>
          <w:u w:val="single"/>
        </w:rPr>
        <w:lastRenderedPageBreak/>
        <w:t xml:space="preserve">Le modèle de </w:t>
      </w:r>
      <w:proofErr w:type="spellStart"/>
      <w:proofErr w:type="gramStart"/>
      <w:r w:rsidRPr="003A4BCF">
        <w:rPr>
          <w:b/>
          <w:sz w:val="28"/>
          <w:szCs w:val="28"/>
          <w:u w:val="single"/>
        </w:rPr>
        <w:t>S.Moirand</w:t>
      </w:r>
      <w:proofErr w:type="spellEnd"/>
      <w:proofErr w:type="gramEnd"/>
      <w:r w:rsidRPr="003A4BCF">
        <w:rPr>
          <w:b/>
          <w:sz w:val="28"/>
          <w:szCs w:val="28"/>
          <w:u w:val="single"/>
        </w:rPr>
        <w:t>, 1982</w:t>
      </w:r>
    </w:p>
    <w:p w:rsidR="003A4BCF" w:rsidRDefault="003A4BCF" w:rsidP="003A4BCF">
      <w:pPr>
        <w:spacing w:after="120" w:line="276" w:lineRule="auto"/>
        <w:jc w:val="both"/>
        <w:rPr>
          <w:sz w:val="22"/>
          <w:szCs w:val="22"/>
        </w:rPr>
      </w:pPr>
      <w:r>
        <w:rPr>
          <w:sz w:val="22"/>
          <w:szCs w:val="22"/>
        </w:rPr>
        <w:t>Une compétence de communication reposerait, pour moi, sur plusieurs composantes :</w:t>
      </w:r>
    </w:p>
    <w:p w:rsidR="003A4BCF" w:rsidRDefault="003A4BCF" w:rsidP="003A4BCF">
      <w:pPr>
        <w:numPr>
          <w:ilvl w:val="0"/>
          <w:numId w:val="1"/>
        </w:numPr>
        <w:jc w:val="both"/>
      </w:pPr>
      <w:proofErr w:type="gramStart"/>
      <w:r>
        <w:rPr>
          <w:rFonts w:ascii="Cambria" w:eastAsia="Cambria" w:hAnsi="Cambria" w:cs="Cambria"/>
        </w:rPr>
        <w:t>une</w:t>
      </w:r>
      <w:proofErr w:type="gramEnd"/>
      <w:r>
        <w:rPr>
          <w:rFonts w:ascii="Cambria" w:eastAsia="Cambria" w:hAnsi="Cambria" w:cs="Cambria"/>
        </w:rPr>
        <w:t xml:space="preserve"> composante linguistique, c'est-à-dire la connaissance et l'appropriation (la capacité de les utiliser) des modèles phonétiques, lexicaux, grammaticaux et textuels du système de la langue ;</w:t>
      </w:r>
    </w:p>
    <w:p w:rsidR="003A4BCF" w:rsidRDefault="003A4BCF" w:rsidP="003A4BCF">
      <w:pPr>
        <w:numPr>
          <w:ilvl w:val="0"/>
          <w:numId w:val="1"/>
        </w:numPr>
        <w:jc w:val="both"/>
      </w:pPr>
      <w:proofErr w:type="gramStart"/>
      <w:r>
        <w:rPr>
          <w:rFonts w:ascii="Cambria" w:eastAsia="Cambria" w:hAnsi="Cambria" w:cs="Cambria"/>
        </w:rPr>
        <w:t>une</w:t>
      </w:r>
      <w:proofErr w:type="gramEnd"/>
      <w:r>
        <w:rPr>
          <w:rFonts w:ascii="Cambria" w:eastAsia="Cambria" w:hAnsi="Cambria" w:cs="Cambria"/>
        </w:rPr>
        <w:t xml:space="preserve"> composante discursive, c'est-à-dire la connaissance et l'appropriation des différents types de discours et de leur organisation en fonction des paramètres de la situation de communication dans laquelle ils sont produits et interprétés ;</w:t>
      </w:r>
    </w:p>
    <w:p w:rsidR="003A4BCF" w:rsidRDefault="003A4BCF" w:rsidP="003A4BCF">
      <w:pPr>
        <w:numPr>
          <w:ilvl w:val="0"/>
          <w:numId w:val="1"/>
        </w:numPr>
        <w:jc w:val="both"/>
      </w:pPr>
      <w:proofErr w:type="gramStart"/>
      <w:r>
        <w:rPr>
          <w:rFonts w:ascii="Cambria" w:eastAsia="Cambria" w:hAnsi="Cambria" w:cs="Cambria"/>
        </w:rPr>
        <w:t>une</w:t>
      </w:r>
      <w:proofErr w:type="gramEnd"/>
      <w:r>
        <w:rPr>
          <w:rFonts w:ascii="Cambria" w:eastAsia="Cambria" w:hAnsi="Cambria" w:cs="Cambria"/>
        </w:rPr>
        <w:t xml:space="preserve"> composante référentielle, c'est-à-dire la connaissance des domaines d'expérience et des objets du monde et de leurs relations ; </w:t>
      </w:r>
    </w:p>
    <w:p w:rsidR="003A4BCF" w:rsidRPr="003A4BCF" w:rsidRDefault="003A4BCF" w:rsidP="003A4BCF">
      <w:pPr>
        <w:numPr>
          <w:ilvl w:val="0"/>
          <w:numId w:val="1"/>
        </w:numPr>
        <w:jc w:val="both"/>
      </w:pPr>
      <w:proofErr w:type="gramStart"/>
      <w:r>
        <w:rPr>
          <w:rFonts w:ascii="Cambria" w:eastAsia="Cambria" w:hAnsi="Cambria" w:cs="Cambria"/>
        </w:rPr>
        <w:t>une</w:t>
      </w:r>
      <w:proofErr w:type="gramEnd"/>
      <w:r>
        <w:rPr>
          <w:rFonts w:ascii="Cambria" w:eastAsia="Cambria" w:hAnsi="Cambria" w:cs="Cambria"/>
        </w:rPr>
        <w:t xml:space="preserve"> composante socio-culturelle, c'est-à-dire la connaissance et l'appropriation des règles sociales et des normes d'interaction entre les individus et les institutions, la connaissance de l'histoire culturelle et des relations entre les objets sociaux. </w:t>
      </w:r>
    </w:p>
    <w:p w:rsidR="003A4BCF" w:rsidRDefault="003A4BCF" w:rsidP="003A4BCF">
      <w:pPr>
        <w:ind w:left="720"/>
        <w:jc w:val="both"/>
      </w:pPr>
    </w:p>
    <w:p w:rsidR="003A4BCF" w:rsidRDefault="003A4BCF" w:rsidP="003A4BCF">
      <w:pPr>
        <w:widowControl w:val="0"/>
        <w:spacing w:after="120" w:line="276" w:lineRule="auto"/>
        <w:jc w:val="both"/>
        <w:rPr>
          <w:b/>
          <w:sz w:val="22"/>
          <w:szCs w:val="22"/>
        </w:rPr>
      </w:pPr>
      <w:r>
        <w:rPr>
          <w:b/>
          <w:sz w:val="22"/>
          <w:szCs w:val="22"/>
        </w:rPr>
        <w:t xml:space="preserve">Référence : </w:t>
      </w:r>
    </w:p>
    <w:p w:rsidR="003A4BCF" w:rsidRDefault="003A4BCF" w:rsidP="003A4BCF">
      <w:pPr>
        <w:spacing w:after="200"/>
        <w:rPr>
          <w:sz w:val="22"/>
          <w:szCs w:val="22"/>
        </w:rPr>
      </w:pPr>
      <w:proofErr w:type="spellStart"/>
      <w:r>
        <w:rPr>
          <w:sz w:val="22"/>
          <w:szCs w:val="22"/>
        </w:rPr>
        <w:t>Moirand</w:t>
      </w:r>
      <w:proofErr w:type="spellEnd"/>
      <w:r>
        <w:rPr>
          <w:sz w:val="22"/>
          <w:szCs w:val="22"/>
        </w:rPr>
        <w:t xml:space="preserve">, S. (1982). </w:t>
      </w:r>
      <w:r>
        <w:rPr>
          <w:i/>
          <w:sz w:val="22"/>
          <w:szCs w:val="22"/>
        </w:rPr>
        <w:t>Enseigner à communiquer en langue étrangère</w:t>
      </w:r>
      <w:r>
        <w:rPr>
          <w:sz w:val="22"/>
          <w:szCs w:val="22"/>
        </w:rPr>
        <w:t xml:space="preserve">. Paris : Hachette. </w:t>
      </w:r>
    </w:p>
    <w:p w:rsidR="003A4BCF" w:rsidRDefault="003A4BCF" w:rsidP="003A4BCF">
      <w:pPr>
        <w:spacing w:after="200"/>
        <w:ind w:left="1440"/>
        <w:rPr>
          <w:sz w:val="22"/>
          <w:szCs w:val="22"/>
        </w:rPr>
      </w:pPr>
    </w:p>
    <w:tbl>
      <w:tblPr>
        <w:tblW w:w="94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4"/>
        <w:gridCol w:w="2443"/>
        <w:gridCol w:w="2394"/>
        <w:gridCol w:w="2394"/>
      </w:tblGrid>
      <w:tr w:rsidR="003A4BCF" w:rsidTr="00370EA0">
        <w:trPr>
          <w:trHeight w:val="1098"/>
        </w:trPr>
        <w:tc>
          <w:tcPr>
            <w:tcW w:w="2244" w:type="dxa"/>
          </w:tcPr>
          <w:p w:rsidR="003A4BCF" w:rsidRDefault="003A4BCF" w:rsidP="00CE70F7">
            <w:pPr>
              <w:spacing w:after="200"/>
              <w:rPr>
                <w:sz w:val="22"/>
                <w:szCs w:val="22"/>
              </w:rPr>
            </w:pPr>
            <w:r>
              <w:rPr>
                <w:sz w:val="22"/>
                <w:szCs w:val="22"/>
              </w:rPr>
              <w:t>Composantes</w:t>
            </w:r>
          </w:p>
        </w:tc>
        <w:tc>
          <w:tcPr>
            <w:tcW w:w="2443" w:type="dxa"/>
          </w:tcPr>
          <w:p w:rsidR="003A4BCF" w:rsidRDefault="003A4BCF" w:rsidP="00CE70F7">
            <w:pPr>
              <w:spacing w:after="200"/>
              <w:rPr>
                <w:sz w:val="22"/>
                <w:szCs w:val="22"/>
              </w:rPr>
            </w:pPr>
            <w:r>
              <w:rPr>
                <w:sz w:val="22"/>
                <w:szCs w:val="22"/>
              </w:rPr>
              <w:t>Conception du CRDP (2019)</w:t>
            </w:r>
          </w:p>
        </w:tc>
        <w:tc>
          <w:tcPr>
            <w:tcW w:w="2394" w:type="dxa"/>
          </w:tcPr>
          <w:p w:rsidR="003A4BCF" w:rsidRDefault="003A4BCF" w:rsidP="00CE70F7">
            <w:pPr>
              <w:spacing w:after="200"/>
              <w:rPr>
                <w:sz w:val="22"/>
                <w:szCs w:val="22"/>
              </w:rPr>
            </w:pPr>
            <w:r>
              <w:rPr>
                <w:sz w:val="22"/>
                <w:szCs w:val="22"/>
              </w:rPr>
              <w:t>CECRL (2001)</w:t>
            </w:r>
          </w:p>
        </w:tc>
        <w:tc>
          <w:tcPr>
            <w:tcW w:w="2394" w:type="dxa"/>
          </w:tcPr>
          <w:p w:rsidR="003A4BCF" w:rsidRDefault="003A4BCF" w:rsidP="00CE70F7">
            <w:pPr>
              <w:spacing w:after="200"/>
              <w:rPr>
                <w:sz w:val="22"/>
                <w:szCs w:val="22"/>
              </w:rPr>
            </w:pPr>
            <w:proofErr w:type="spellStart"/>
            <w:r>
              <w:rPr>
                <w:sz w:val="22"/>
                <w:szCs w:val="22"/>
              </w:rPr>
              <w:t>Moirand</w:t>
            </w:r>
            <w:proofErr w:type="spellEnd"/>
            <w:r>
              <w:rPr>
                <w:sz w:val="22"/>
                <w:szCs w:val="22"/>
              </w:rPr>
              <w:t xml:space="preserve"> (2002)</w:t>
            </w:r>
          </w:p>
        </w:tc>
      </w:tr>
      <w:tr w:rsidR="003A4BCF" w:rsidTr="00370EA0">
        <w:trPr>
          <w:trHeight w:val="708"/>
        </w:trPr>
        <w:tc>
          <w:tcPr>
            <w:tcW w:w="2244" w:type="dxa"/>
          </w:tcPr>
          <w:p w:rsidR="003A4BCF" w:rsidRDefault="003A4BCF" w:rsidP="00CE70F7">
            <w:pPr>
              <w:spacing w:after="200"/>
              <w:rPr>
                <w:sz w:val="22"/>
                <w:szCs w:val="22"/>
              </w:rPr>
            </w:pPr>
          </w:p>
        </w:tc>
        <w:tc>
          <w:tcPr>
            <w:tcW w:w="2443" w:type="dxa"/>
          </w:tcPr>
          <w:p w:rsidR="003A4BCF" w:rsidRDefault="003A4BCF" w:rsidP="00CE70F7">
            <w:pPr>
              <w:spacing w:after="200"/>
              <w:rPr>
                <w:sz w:val="22"/>
                <w:szCs w:val="22"/>
              </w:rPr>
            </w:pPr>
            <w:r>
              <w:rPr>
                <w:sz w:val="22"/>
                <w:szCs w:val="22"/>
              </w:rPr>
              <w:t>Ling</w:t>
            </w:r>
          </w:p>
        </w:tc>
        <w:tc>
          <w:tcPr>
            <w:tcW w:w="2394" w:type="dxa"/>
          </w:tcPr>
          <w:p w:rsidR="003A4BCF" w:rsidRDefault="003A4BCF" w:rsidP="00CE70F7">
            <w:pPr>
              <w:rPr>
                <w:rFonts w:ascii="Times" w:eastAsia="Times" w:hAnsi="Times" w:cs="Times"/>
                <w:sz w:val="20"/>
                <w:szCs w:val="20"/>
              </w:rPr>
            </w:pPr>
          </w:p>
        </w:tc>
        <w:tc>
          <w:tcPr>
            <w:tcW w:w="2394" w:type="dxa"/>
          </w:tcPr>
          <w:p w:rsidR="003A4BCF" w:rsidRDefault="003A4BCF" w:rsidP="00CE70F7">
            <w:pPr>
              <w:spacing w:after="200"/>
              <w:rPr>
                <w:sz w:val="22"/>
                <w:szCs w:val="22"/>
              </w:rPr>
            </w:pPr>
          </w:p>
        </w:tc>
      </w:tr>
      <w:tr w:rsidR="003A4BCF" w:rsidTr="00370EA0">
        <w:trPr>
          <w:trHeight w:val="686"/>
        </w:trPr>
        <w:tc>
          <w:tcPr>
            <w:tcW w:w="2244" w:type="dxa"/>
          </w:tcPr>
          <w:p w:rsidR="003A4BCF" w:rsidRDefault="003A4BCF" w:rsidP="00CE70F7">
            <w:pPr>
              <w:spacing w:after="200"/>
              <w:rPr>
                <w:sz w:val="22"/>
                <w:szCs w:val="22"/>
              </w:rPr>
            </w:pPr>
          </w:p>
        </w:tc>
        <w:tc>
          <w:tcPr>
            <w:tcW w:w="2443" w:type="dxa"/>
          </w:tcPr>
          <w:p w:rsidR="003A4BCF" w:rsidRDefault="003A4BCF" w:rsidP="00CE70F7">
            <w:pPr>
              <w:spacing w:after="200"/>
              <w:rPr>
                <w:sz w:val="22"/>
                <w:szCs w:val="22"/>
              </w:rPr>
            </w:pPr>
            <w:proofErr w:type="spellStart"/>
            <w:r>
              <w:rPr>
                <w:sz w:val="22"/>
                <w:szCs w:val="22"/>
              </w:rPr>
              <w:t>Socioling</w:t>
            </w:r>
            <w:proofErr w:type="spellEnd"/>
            <w:r>
              <w:rPr>
                <w:sz w:val="22"/>
                <w:szCs w:val="22"/>
              </w:rPr>
              <w:t>/</w:t>
            </w:r>
            <w:proofErr w:type="spellStart"/>
            <w:r>
              <w:rPr>
                <w:sz w:val="22"/>
                <w:szCs w:val="22"/>
              </w:rPr>
              <w:t>cult</w:t>
            </w:r>
            <w:proofErr w:type="spellEnd"/>
          </w:p>
        </w:tc>
        <w:tc>
          <w:tcPr>
            <w:tcW w:w="2394" w:type="dxa"/>
          </w:tcPr>
          <w:p w:rsidR="003A4BCF" w:rsidRDefault="003A4BCF" w:rsidP="00CE70F7">
            <w:pPr>
              <w:rPr>
                <w:rFonts w:ascii="Times" w:eastAsia="Times" w:hAnsi="Times" w:cs="Times"/>
                <w:sz w:val="20"/>
                <w:szCs w:val="20"/>
              </w:rPr>
            </w:pPr>
          </w:p>
        </w:tc>
        <w:tc>
          <w:tcPr>
            <w:tcW w:w="2394" w:type="dxa"/>
          </w:tcPr>
          <w:p w:rsidR="003A4BCF" w:rsidRDefault="003A4BCF" w:rsidP="00CE70F7">
            <w:pPr>
              <w:spacing w:after="200"/>
              <w:rPr>
                <w:sz w:val="22"/>
                <w:szCs w:val="22"/>
              </w:rPr>
            </w:pPr>
          </w:p>
        </w:tc>
      </w:tr>
      <w:tr w:rsidR="003A4BCF" w:rsidTr="00370EA0">
        <w:trPr>
          <w:trHeight w:val="708"/>
        </w:trPr>
        <w:tc>
          <w:tcPr>
            <w:tcW w:w="2244" w:type="dxa"/>
          </w:tcPr>
          <w:p w:rsidR="003A4BCF" w:rsidRDefault="003A4BCF" w:rsidP="00CE70F7">
            <w:pPr>
              <w:spacing w:after="200"/>
              <w:rPr>
                <w:sz w:val="22"/>
                <w:szCs w:val="22"/>
              </w:rPr>
            </w:pPr>
          </w:p>
        </w:tc>
        <w:tc>
          <w:tcPr>
            <w:tcW w:w="2443" w:type="dxa"/>
          </w:tcPr>
          <w:p w:rsidR="003A4BCF" w:rsidRDefault="003A4BCF" w:rsidP="00CE70F7">
            <w:pPr>
              <w:spacing w:after="200"/>
              <w:rPr>
                <w:sz w:val="22"/>
                <w:szCs w:val="22"/>
              </w:rPr>
            </w:pPr>
            <w:proofErr w:type="spellStart"/>
            <w:r>
              <w:rPr>
                <w:sz w:val="22"/>
                <w:szCs w:val="22"/>
              </w:rPr>
              <w:t>Prag</w:t>
            </w:r>
            <w:proofErr w:type="spellEnd"/>
            <w:r>
              <w:rPr>
                <w:sz w:val="22"/>
                <w:szCs w:val="22"/>
              </w:rPr>
              <w:t>-disc</w:t>
            </w:r>
          </w:p>
        </w:tc>
        <w:tc>
          <w:tcPr>
            <w:tcW w:w="2394" w:type="dxa"/>
          </w:tcPr>
          <w:p w:rsidR="003A4BCF" w:rsidRDefault="003A4BCF" w:rsidP="00CE70F7">
            <w:pPr>
              <w:rPr>
                <w:rFonts w:ascii="Times" w:eastAsia="Times" w:hAnsi="Times" w:cs="Times"/>
                <w:sz w:val="20"/>
                <w:szCs w:val="20"/>
              </w:rPr>
            </w:pPr>
          </w:p>
        </w:tc>
        <w:tc>
          <w:tcPr>
            <w:tcW w:w="2394" w:type="dxa"/>
          </w:tcPr>
          <w:p w:rsidR="003A4BCF" w:rsidRDefault="003A4BCF" w:rsidP="00CE70F7">
            <w:pPr>
              <w:spacing w:after="200"/>
              <w:rPr>
                <w:sz w:val="22"/>
                <w:szCs w:val="22"/>
              </w:rPr>
            </w:pPr>
          </w:p>
        </w:tc>
      </w:tr>
      <w:tr w:rsidR="003A4BCF" w:rsidTr="00370EA0">
        <w:trPr>
          <w:trHeight w:val="708"/>
        </w:trPr>
        <w:tc>
          <w:tcPr>
            <w:tcW w:w="2244" w:type="dxa"/>
          </w:tcPr>
          <w:p w:rsidR="003A4BCF" w:rsidRDefault="003A4BCF" w:rsidP="00CE70F7">
            <w:pPr>
              <w:spacing w:after="200"/>
              <w:rPr>
                <w:sz w:val="22"/>
                <w:szCs w:val="22"/>
              </w:rPr>
            </w:pPr>
          </w:p>
        </w:tc>
        <w:tc>
          <w:tcPr>
            <w:tcW w:w="2443" w:type="dxa"/>
          </w:tcPr>
          <w:p w:rsidR="003A4BCF" w:rsidRDefault="003A4BCF" w:rsidP="00CE70F7">
            <w:pPr>
              <w:spacing w:after="200"/>
              <w:rPr>
                <w:sz w:val="22"/>
                <w:szCs w:val="22"/>
              </w:rPr>
            </w:pPr>
            <w:proofErr w:type="spellStart"/>
            <w:r>
              <w:rPr>
                <w:sz w:val="22"/>
                <w:szCs w:val="22"/>
              </w:rPr>
              <w:t>Prag</w:t>
            </w:r>
            <w:proofErr w:type="spellEnd"/>
            <w:r>
              <w:rPr>
                <w:sz w:val="22"/>
                <w:szCs w:val="22"/>
              </w:rPr>
              <w:t>-fonction</w:t>
            </w:r>
          </w:p>
        </w:tc>
        <w:tc>
          <w:tcPr>
            <w:tcW w:w="2394" w:type="dxa"/>
          </w:tcPr>
          <w:p w:rsidR="003A4BCF" w:rsidRDefault="003A4BCF" w:rsidP="00CE70F7">
            <w:pPr>
              <w:spacing w:after="200"/>
              <w:rPr>
                <w:sz w:val="22"/>
                <w:szCs w:val="22"/>
              </w:rPr>
            </w:pPr>
          </w:p>
        </w:tc>
        <w:tc>
          <w:tcPr>
            <w:tcW w:w="2394" w:type="dxa"/>
          </w:tcPr>
          <w:p w:rsidR="003A4BCF" w:rsidRDefault="003A4BCF" w:rsidP="00CE70F7">
            <w:pPr>
              <w:spacing w:after="200"/>
              <w:rPr>
                <w:sz w:val="22"/>
                <w:szCs w:val="22"/>
              </w:rPr>
            </w:pPr>
          </w:p>
        </w:tc>
      </w:tr>
      <w:tr w:rsidR="003A4BCF" w:rsidTr="00370EA0">
        <w:trPr>
          <w:trHeight w:val="686"/>
        </w:trPr>
        <w:tc>
          <w:tcPr>
            <w:tcW w:w="2244" w:type="dxa"/>
          </w:tcPr>
          <w:p w:rsidR="003A4BCF" w:rsidRDefault="003A4BCF" w:rsidP="00CE70F7">
            <w:pPr>
              <w:spacing w:after="200"/>
              <w:rPr>
                <w:color w:val="808080"/>
                <w:sz w:val="22"/>
                <w:szCs w:val="22"/>
              </w:rPr>
            </w:pPr>
            <w:r>
              <w:rPr>
                <w:color w:val="808080"/>
                <w:sz w:val="22"/>
                <w:szCs w:val="22"/>
              </w:rPr>
              <w:t>(</w:t>
            </w:r>
            <w:proofErr w:type="gramStart"/>
            <w:r>
              <w:rPr>
                <w:color w:val="808080"/>
                <w:sz w:val="22"/>
                <w:szCs w:val="22"/>
              </w:rPr>
              <w:t>autre</w:t>
            </w:r>
            <w:proofErr w:type="gramEnd"/>
            <w:r>
              <w:rPr>
                <w:color w:val="808080"/>
                <w:sz w:val="22"/>
                <w:szCs w:val="22"/>
              </w:rPr>
              <w:t>)</w:t>
            </w:r>
          </w:p>
        </w:tc>
        <w:tc>
          <w:tcPr>
            <w:tcW w:w="2443" w:type="dxa"/>
          </w:tcPr>
          <w:p w:rsidR="003A4BCF" w:rsidRDefault="003A4BCF" w:rsidP="00CE70F7">
            <w:pPr>
              <w:spacing w:after="200"/>
              <w:rPr>
                <w:sz w:val="22"/>
                <w:szCs w:val="22"/>
              </w:rPr>
            </w:pPr>
          </w:p>
        </w:tc>
        <w:tc>
          <w:tcPr>
            <w:tcW w:w="2394" w:type="dxa"/>
          </w:tcPr>
          <w:p w:rsidR="003A4BCF" w:rsidRDefault="003A4BCF" w:rsidP="00CE70F7">
            <w:pPr>
              <w:spacing w:after="200"/>
              <w:rPr>
                <w:sz w:val="22"/>
                <w:szCs w:val="22"/>
              </w:rPr>
            </w:pPr>
          </w:p>
        </w:tc>
        <w:tc>
          <w:tcPr>
            <w:tcW w:w="2394" w:type="dxa"/>
          </w:tcPr>
          <w:p w:rsidR="003A4BCF" w:rsidRDefault="003A4BCF" w:rsidP="00CE70F7">
            <w:pPr>
              <w:spacing w:after="200"/>
              <w:rPr>
                <w:sz w:val="22"/>
                <w:szCs w:val="22"/>
              </w:rPr>
            </w:pPr>
          </w:p>
        </w:tc>
      </w:tr>
    </w:tbl>
    <w:p w:rsidR="00A1711D" w:rsidRDefault="00A1711D" w:rsidP="00A1711D">
      <w:pPr>
        <w:ind w:left="709"/>
        <w:rPr>
          <w:sz w:val="22"/>
          <w:szCs w:val="22"/>
        </w:rPr>
      </w:pPr>
    </w:p>
    <w:p w:rsidR="003A4BCF" w:rsidRDefault="003A4BCF" w:rsidP="00370EA0">
      <w:pPr>
        <w:rPr>
          <w:sz w:val="22"/>
          <w:szCs w:val="22"/>
        </w:rPr>
      </w:pPr>
      <w:r>
        <w:rPr>
          <w:sz w:val="22"/>
          <w:szCs w:val="22"/>
        </w:rPr>
        <w:t>(</w:t>
      </w:r>
      <w:proofErr w:type="gramStart"/>
      <w:r>
        <w:rPr>
          <w:sz w:val="22"/>
          <w:szCs w:val="22"/>
        </w:rPr>
        <w:t>cf.</w:t>
      </w:r>
      <w:proofErr w:type="gramEnd"/>
      <w:r>
        <w:rPr>
          <w:sz w:val="22"/>
          <w:szCs w:val="22"/>
        </w:rPr>
        <w:t xml:space="preserve"> « corrigé » ci-dessous)</w:t>
      </w:r>
    </w:p>
    <w:p w:rsidR="008F2B52" w:rsidRDefault="008F2B52" w:rsidP="00370EA0">
      <w:pPr>
        <w:rPr>
          <w:sz w:val="22"/>
          <w:szCs w:val="22"/>
        </w:rPr>
      </w:pPr>
    </w:p>
    <w:p w:rsidR="00774C96" w:rsidRPr="00774C96" w:rsidRDefault="008F2B52" w:rsidP="00774C96">
      <w:pPr>
        <w:ind w:left="709"/>
        <w:rPr>
          <w:sz w:val="22"/>
          <w:szCs w:val="22"/>
        </w:rPr>
      </w:pPr>
      <w:hyperlink r:id="rId5" w:history="1">
        <w:r w:rsidRPr="008F2B52">
          <w:rPr>
            <w:rStyle w:val="Hyperlink"/>
            <w:sz w:val="22"/>
            <w:szCs w:val="22"/>
          </w:rPr>
          <w:t>https://edusub.crdp.org/pluginfile.php/5978/mod_page/content/8/Corrigé%20en%20pdf%20Tableau%20comparatif.pdf</w:t>
        </w:r>
      </w:hyperlink>
    </w:p>
    <w:sectPr w:rsidR="00774C96" w:rsidRPr="00774C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panose1 w:val="020B0502040504020204"/>
    <w:charset w:val="00"/>
    <w:family w:val="swiss"/>
    <w:pitch w:val="variable"/>
    <w:sig w:usb0="E00002FF" w:usb1="4000001F" w:usb2="08000029"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B4683"/>
    <w:multiLevelType w:val="multilevel"/>
    <w:tmpl w:val="A0043A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6C96784C"/>
    <w:multiLevelType w:val="multilevel"/>
    <w:tmpl w:val="7C8ED4F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CF"/>
    <w:rsid w:val="00370EA0"/>
    <w:rsid w:val="003A4BCF"/>
    <w:rsid w:val="00774C96"/>
    <w:rsid w:val="008F2B52"/>
    <w:rsid w:val="00A1711D"/>
    <w:rsid w:val="00A75F06"/>
  </w:rsids>
  <m:mathPr>
    <m:mathFont m:val="Cambria Math"/>
    <m:brkBin m:val="before"/>
    <m:brkBinSub m:val="--"/>
    <m:smallFrac m:val="0"/>
    <m:dispDef/>
    <m:lMargin m:val="0"/>
    <m:rMargin m:val="0"/>
    <m:defJc m:val="centerGroup"/>
    <m:wrapIndent m:val="1440"/>
    <m:intLim m:val="subSup"/>
    <m:naryLim m:val="undOvr"/>
  </m:mathPr>
  <w:themeFontLang w:val="en-LB" w:bidi="ar-SA"/>
  <w:clrSchemeMapping w:bg1="light1" w:t1="dark1" w:bg2="light2" w:t2="dark2" w:accent1="accent1" w:accent2="accent2" w:accent3="accent3" w:accent4="accent4" w:accent5="accent5" w:accent6="accent6" w:hyperlink="hyperlink" w:followedHyperlink="followedHyperlink"/>
  <w:decimalSymbol w:val="."/>
  <w:listSeparator w:val=","/>
  <w14:docId w14:val="0A6C6D9F"/>
  <w15:chartTrackingRefBased/>
  <w15:docId w15:val="{75739D7B-FF64-D24E-9BCC-08A86DF6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L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CF"/>
    <w:rPr>
      <w:rFonts w:ascii="Calibri" w:eastAsia="Calibri" w:hAnsi="Calibri" w:cs="Calibri"/>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BCF"/>
    <w:rPr>
      <w:color w:val="0563C1" w:themeColor="hyperlink"/>
      <w:u w:val="single"/>
    </w:rPr>
  </w:style>
  <w:style w:type="character" w:styleId="UnresolvedMention">
    <w:name w:val="Unresolved Mention"/>
    <w:basedOn w:val="DefaultParagraphFont"/>
    <w:uiPriority w:val="99"/>
    <w:semiHidden/>
    <w:unhideWhenUsed/>
    <w:rsid w:val="003A4BCF"/>
    <w:rPr>
      <w:color w:val="605E5C"/>
      <w:shd w:val="clear" w:color="auto" w:fill="E1DFDD"/>
    </w:rPr>
  </w:style>
  <w:style w:type="character" w:styleId="FollowedHyperlink">
    <w:name w:val="FollowedHyperlink"/>
    <w:basedOn w:val="DefaultParagraphFont"/>
    <w:uiPriority w:val="99"/>
    <w:semiHidden/>
    <w:unhideWhenUsed/>
    <w:rsid w:val="003A4B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usub.crdp.org/pluginfile.php/5978/mod_page/content/8/Corrig&#233;%20en%20pdf%20Tableau%20comparatif.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Haddad</dc:creator>
  <cp:keywords/>
  <dc:description/>
  <cp:lastModifiedBy>Pierre Haddad</cp:lastModifiedBy>
  <cp:revision>4</cp:revision>
  <dcterms:created xsi:type="dcterms:W3CDTF">2020-06-24T06:49:00Z</dcterms:created>
  <dcterms:modified xsi:type="dcterms:W3CDTF">2020-06-24T07:54:00Z</dcterms:modified>
</cp:coreProperties>
</file>